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center"/>
      </w:pPr>
      <w:r>
        <w:rPr>
          <w:b/>
          <w:bCs/>
          <w:color w:val="000000"/>
          <w:sz w:val="48"/>
          <w:szCs w:val="48"/>
        </w:rPr>
        <w:t xml:space="preserve">УГОЛОК</w:t>
      </w:r>
    </w:p>
    <w:p>
      <w:pPr>
        <w:spacing w:after="120" w:before="0"/>
        <w:jc w:val="center"/>
      </w:pPr>
      <w:r>
        <w:rPr>
          <w:b/>
          <w:bCs/>
          <w:color w:val="000000"/>
          <w:sz w:val="48"/>
          <w:szCs w:val="48"/>
        </w:rPr>
        <w:t xml:space="preserve">ПОТРЕБИТЕЛЯ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1. Общие сведения о медицинской организации</w:t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>Полное наименование: Общество с ограниченной ответственностью «Медицинские системы»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>Краткое наименование: ООО «Медицинские системы»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>Фирменное (коммерческое) наименование: Медицинские системы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</w:p>
    <w:p>
      <w:pPr>
        <w:spacing w:after="100"/>
        <w:jc w:val="both"/>
      </w:pPr>
      <w:r>
        <w:rPr>
          <w:i/>
          <w:iCs/>
          <w:color w:val="000000"/>
          <w:sz w:val="20"/>
          <w:szCs w:val="20"/>
        </w:rPr>
        <w:t xml:space="preserve">При наличии — на основании Приказа о коммерческом наименовании № {{ПРИКАЗ_КОММ_НАИМ_НОМЕР}} от {{ПРИКАЗ_КОММ_НАИМ_ДАТА}}. Если бренд клиники (название на вывеске, в рекламе, на сайте) совпадает с наименованием юрлица — строка не заполняется.</w:t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>ОГРН: 1108603020811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>ИНН: 8603176070        КПП: 860301001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  <w:r>
        <w:rPr>
          <w:b/>
          <w:bCs/>
          <w:i w:val="false"/>
          <w:iCs w:val="false"/>
          <w:color w:val="000000"/>
          <w:sz w:val="22"/>
          <w:szCs w:val="22"/>
        </w:rPr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>Лицензия: № Л041-01193-86/00304206 от 19 февраля 2016 г., выдана Служба по контролю и надзору в сфере здравоохранения Ханты-Мансийского автономного округа — Югры.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>Санитарно-эпидемиологическое заключение: № 86.НЦ.02.000.М.000105.05.24 от 14 мая 2024 г.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>Учредители: Лазаренко Елена Анатольевна (50%), Михейкин Вадим Андреевич (50%)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/>
      </w:r>
    </w:p>
    <w:p>
      <w:pPr>
        <w:pStyle w:val="Heading2"/>
        <w:spacing w:after="120" w:before="240"/>
      </w:pPr>
      <w:r>
        <w:rPr>
          <w:b/>
          <w:bCs/>
          <w:color w:val="000000"/>
          <w:sz w:val="24"/>
          <w:szCs w:val="24"/>
        </w:rPr>
        <w:t xml:space="preserve">1.1. Место нахождения</w:t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>Юридический адрес: 628602, Российская Федерация, Ханты-Мансийский автономный округ — Югра, г. Нижневартовск, проезд Куропаткина, д. 1, офис 1010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>Почтовый адрес: 628602, Российская Федерация, Ханты-Мансийский автономный округ — Югра, г. Нижневартовск, проезд Куропаткина, д. 1, офис 1010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>Фактический адрес: 628602, Российская Федерация, Ханты-Мансийский автономный округ — Югра, г. Нижневартовск, проезд Куропаткина, д. 1, офис 1010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</w:p>
    <w:p>
      <w:pPr>
        <w:pStyle w:val="Heading2"/>
        <w:spacing w:after="120" w:before="240"/>
      </w:pPr>
      <w:r>
        <w:rPr>
          <w:b/>
          <w:bCs/>
          <w:color w:val="000000"/>
          <w:sz w:val="24"/>
          <w:szCs w:val="24"/>
        </w:rPr>
        <w:t xml:space="preserve">1.2. Структура и органы управления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Единоличный исполнительный орган — директор.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>Генеральный директор Михейкин Вадим Андреевич</w:t>
      </w:r>
    </w:p>
    <w:p>
      <w:pPr>
        <w:pStyle w:val="Heading2"/>
        <w:spacing w:after="120" w:before="240"/>
      </w:pPr>
      <w:r>
        <w:rPr>
          <w:b/>
          <w:bCs/>
          <w:color w:val="000000"/>
          <w:sz w:val="24"/>
          <w:szCs w:val="24"/>
        </w:rPr>
        <w:t xml:space="preserve">1.3. Режим работы и контакты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Понедельник — пятница: с 9:00 до 18:00 (без перерыва).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Суббота: с 9:00 до 13:00.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Воскресенье: выходной.</w:t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>Контактные телефоны: 8-902-494-22-66; 8 (3466) 42-24-66; 8 (3466) 407-007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>Электронный адрес: skg-nv@mail.ru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>Сайт клиники: medsys-nv.ru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>Предварительная запись на приём по тел.: 8-902-494-22-66; 8 (3466) 42-24-66; 8 (3466) 407-007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/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 предоставляется пациенту (потребителю) лечащим врачом (устно) и в виде Информированного добровольного согласия на медицинское вмешательство (письменно), оформляемого в соответствии с приказом Министерства здравоохранения Российской Федерации от 12.11.2021 № 1051н.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2. Адреса и телефоны контролирующих органов</w:t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 xml:space="preserve">Информация о форме и способах направления обращений (жалоб) в органы государственной власти и организации: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/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000000"/>
          <w:sz w:val="22"/>
          <w:szCs w:val="22"/>
        </w:rPr>
        <w:t>Министерство здравоохранения Ханты-Мансийский автономный округ — Югра: тел. +7 (3467) 360-180.</w:t>
      </w:r>
      <w:r>
        <w:rPr>
          <w:color w:val="000000"/>
          <w:sz w:val="22"/>
          <w:szCs w:val="22"/>
        </w:rPr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000000"/>
          <w:sz w:val="22"/>
          <w:szCs w:val="22"/>
        </w:rPr>
        <w:t>Управление здравоохранения г. Нижневартовск: тел. +7 (3466) 43-44-01.</w:t>
      </w:r>
      <w:r>
        <w:rPr>
          <w:color w:val="000000"/>
          <w:sz w:val="22"/>
          <w:szCs w:val="22"/>
        </w:rPr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000000"/>
          <w:sz w:val="22"/>
          <w:szCs w:val="22"/>
        </w:rPr>
        <w:t>Управление Росздравнадзора (Ханты-Мансийский автономный округ — Югра): тел. +7 (3452) 39-34-80.</w:t>
      </w:r>
      <w:r>
        <w:rPr>
          <w:color w:val="000000"/>
          <w:sz w:val="22"/>
          <w:szCs w:val="22"/>
        </w:rPr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000000"/>
          <w:sz w:val="22"/>
          <w:szCs w:val="22"/>
        </w:rPr>
        <w:t>Росздравнадзор, территориальный орган в г. Нижневартовск: тел. {{ТЕЛ_РОСЗДРАВНАДЗОР_ГОРОД}}.</w:t>
      </w:r>
      <w:r>
        <w:rPr>
          <w:color w:val="000000"/>
          <w:sz w:val="22"/>
          <w:szCs w:val="22"/>
        </w:rPr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000000"/>
          <w:sz w:val="22"/>
          <w:szCs w:val="22"/>
        </w:rPr>
        <w:t>Роспотребнадзор: тел. 8 (800) 555-49-43.</w:t>
      </w:r>
      <w:r>
        <w:rPr>
          <w:color w:val="000000"/>
          <w:sz w:val="22"/>
          <w:szCs w:val="22"/>
        </w:rPr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000000"/>
          <w:sz w:val="22"/>
          <w:szCs w:val="22"/>
        </w:rPr>
        <w:t>Роспотребнадзор в г. Нижневартовск: тел. 8 (3466) 41-47-25; 8 (3467) 360-003, доб. 2500.</w:t>
      </w:r>
      <w:r>
        <w:rPr>
          <w:color w:val="000000"/>
          <w:sz w:val="22"/>
          <w:szCs w:val="22"/>
        </w:rPr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000000"/>
          <w:sz w:val="22"/>
          <w:szCs w:val="22"/>
        </w:rPr>
        <w:t>Администрация г. Нижневартовск: тел. 8 (3466) 24-25-50.</w:t>
      </w:r>
      <w:r>
        <w:rPr>
          <w:color w:val="000000"/>
          <w:sz w:val="22"/>
          <w:szCs w:val="22"/>
        </w:rPr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3. Страховые организации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>ООО «Медицинские системы» не работает со страховыми организациями по добровольному медицинскому страхованию.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4. Лечение по полису ОМС. Программа государственных гарантий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>ООО «Медицинские системы» не является участником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 не оказывает бесплатные медицинские услуги.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>Получить медицинскую помощь в рамках Программы государственных гарантий и территориальной программы государственных гарантий в Ханты-Мансийском автономном округе — Югре, а также получить информацию о порядке, об объёме и условиях оказания медицинской помощи в соответствии с этими программами Вы можете в учреждениях здравоохранения, которые участвуют в данных Программах.</w:t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>Адреса ближайших учреждений: г. Нижневартовск, ул. 60 лет Октября, д. 47, тел. 8 (3466) 45-18-87 (Нижневартовская городская стоматологическая поликлиника); г. Нижневартовск, ул. Ленина, д. 11/3, тел. 8 (3466) 24-74-21 (БУ «Нижневартовская городская стоматологическая поликлиника»)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>Порядок и условия предоставления медицинской помощи в соответствии с программой и территориальной программой — на официальном сайте ТФОМС Ханты-Мансийский автономный округ — Югра.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>Предельные сроки ожидания оказания бесплатной медицинской помощи в соответствии с программой и территориальной программой — на официальном сайте ТФОМС Ханты-Мансийский автономный округ — Югра.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5. Виды медицинской деятельности. Лицензия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>ООО «Медицинские системы» осуществляет медицинскую деятельность на основании лицензии № Л041-01193-86/00304206 от 19 февраля 2016 г., выданной Служба по контролю и надзору в сфере здравоохранения Ханты-Мансийского автономного округа — Югры.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Проверить актуальность лицензии и состав разрешённых работ (услуг) можно в Реестре лицензий Федеральной службы по надзору в сфере здравоохранения (Росздравнадзор):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Реестр лицензий Росздравнадзора — </w:t>
      </w:r>
      <w:hyperlink w:history="1" r:id="rIdvporyuiiihdv5c6kmpypg">
        <w:r>
          <w:rPr>
            <w:rStyle w:val="Hyperlink"/>
            <w:sz w:val="22"/>
            <w:szCs w:val="22"/>
          </w:rPr>
          <w:t xml:space="preserve">https://roszdravnadzor.gov.ru/services/licenses</w:t>
        </w:r>
      </w:hyperlink>
    </w:p>
    <w:p>
      <w:pPr>
        <w:pStyle w:val="Heading2"/>
        <w:spacing w:after="120" w:before="240"/>
      </w:pPr>
      <w:r>
        <w:rPr>
          <w:b/>
          <w:bCs/>
          <w:color w:val="000000"/>
          <w:sz w:val="24"/>
          <w:szCs w:val="24"/>
        </w:rPr>
        <w:t xml:space="preserve">5.1. Перечень видов работ (услуг) согласно приложениям к лицензии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стоматология общей практики;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стоматология терапевтическая;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стоматология хирургическая;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стоматология ортопедическая;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стоматология ортодонтическая;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стоматология детская;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рентгенология (при наличии в приложении к лицензии);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физиотерапия (при наличии в приложении к лицензии);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сестринское дело;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организация здравоохранения и общественное здоровье.</w:t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 xml:space="preserve">Примечание: 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  <w:t xml:space="preserve">перечень приводится в строгом соответствии с приложениями к действующей лицензии. Виды деятельности, не включённые в приложения, не оказываются.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6. Правила записи на первичный приём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Запись на первичный приём проводится после платной консультации, на которой пациент знакомится с предварительным планом лечения и стоимостью предлагаемых услуг. При необходимости пациент может быть направлен на дополнительные обследования.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>Запись на консультацию осуществляется по телефону 8-902-494-22-66; 8 (3466) 42-24-66; 8 (3466) 407-007 либо в регистратуре при личном обращении.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7. Правила предоставления платных услуг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>В работе по оказанию платных медицинских услуг ООО «Медицинские системы» руководствуется Постановлением Правительства Российской Федерации от 30.05.2026 № 659 «О Правилах предоставления медицинскими организациями платных медицинских услуг и признании утратившими силу некоторых актов Правительства Российской Федерации».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>ООО «Медицинские системы» оказывает платную стоматологическую помощь жителям г. Нижневартовск, Ханты-Мансийского автономного округа — Югры, гражданам России вне зависимости от места проживания и регистрации, гражданам стран СНГ и дальнего зарубежья.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>ООО «Медицинские системы» оказывает только платные услуги.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Оплата за услуги производится в наличной и безналичной форме в кассу предприятия с выдачей пациенту кассового чека.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Льготы при оказании услуг не предоставляются.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>Перечень платных медицинских услуг ООО «Медицинские системы» сформирован в соответствии с Номенклатурой медицинских услуг (приказ Министерства здравоохранения Российской Федерации от 13.10.2017 № 804н) и публикуется в прейскуранте с указанием цен в рублях.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>Полная информация о Правилах предоставления платных услуг ООО «Медицинские системы» определяется «Положением об условиях, порядке, форме предоставления медицинских услуг и порядке их оплаты» ООО «Медицинские системы» (см. раздел 17).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8. Стандарты медицинской помощи, клинические рекомендации и СОП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Стандарты медицинской помощи и клинические рекомендации, с учётом и на основе которых оказываются стоматологические услуги, размещены на официальных государственных ресурсах: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Официальный интернет-портал правовой информации (стандарты медицинской помощи и порядки оказания медицинской помощи, утверждаемые Минздравом России) — http://pravo.gov.ru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Рубрикатор клинических рекомендаций Минздрава России — https://cr.minzdrav.gov.ru (поиск по профилю «стоматология», по коду МКБ-10 или по названию заболевания)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Официальный сайт Министерства здравоохранения Российской Федерации — https://minzdrav.gov.ru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Порядки оказания медицинской помощи при стоматологических заболеваниях: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приказ Минздрава России от 31.07.2020 № 786н «Об утверждении Порядка оказания медицинской помощи взрослому населению при стоматологических заболеваниях» — http://publication.pravo.gov.ru/Document/View/0001202010020020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приказ Минздрава России от 13.11.2012 № 910н (в редакции от 21.02.2020) «Об утверждении Порядка оказания медицинской помощи детям со стоматологическими заболеваниями» (зарегистрирован Минюстом России 20.12.2012, № 26214)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Ссылки размещены в соответствии с подпунктом «в» пункта 17 Правил предоставления медицинскими организациями платных медицинских услуг, утверждённых постановлением Правительства Российской Федерации от 30.05.2026 № 659.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/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>Безопасность оказания стоматологических услуг для потребителя (пациента) обеспечивается Стандартными операционными процедурами (СОП) в клинике ООО «Медицинские системы» по каждому виду стоматологических услуг (Приказ о внедрении СОП от 01 июня 2026 г.).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9. Сроки оказания услуг и время ожидания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Стандартное время приёма по предварительной записи — в назначенное пациенту время.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Допустимое время ожидания при предварительной записи — до 30 минут.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Длительность первичной консультации — 30–60 минут (определяется лечащим врачом).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Сроки выполнения работ по конкретным видам стоматологических услуг указываются в Плане лечения и зависят от вида услуг и индивидуальных особенностей пациента (текущего стоматологического статуса и сопутствующих заболеваний).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10. Информация о противопоказаниях</w:t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 xml:space="preserve">«Имеются противопоказания. Перед применением необходима консультация специалиста.»</w:t>
      </w:r>
    </w:p>
    <w:p>
      <w:pPr>
        <w:spacing w:after="100"/>
        <w:jc w:val="both"/>
      </w:pPr>
      <w:r>
        <w:rPr>
          <w:i/>
          <w:iCs/>
          <w:color w:val="000000"/>
          <w:sz w:val="20"/>
          <w:szCs w:val="20"/>
        </w:rPr>
        <w:t xml:space="preserve">Размещается в зоне Уголка потребителя видимым шрифтом, а также в подвале каждой страницы сайта клиники (требование ч. 7 ст. 24 Федерального закона от 13.03.2006 № 38-ФЗ «О рекламе»).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11. Порядок предъявления претензий. Врачебная комиссия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>В случае возникновения вопросов или претензий к качеству оказанных медицинских услуг пациент вправе обратиться к руководителю ООО «Медицинские системы» в следующем порядке: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претензия подаётся в письменном виде на имя руководителя клиники;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>способы подачи: лично в регистратуре под роспись; почтой на адрес клиники; на электронный адрес skg-nv@mail.ru;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срок рассмотрения — 10 календарных дней с момента получения;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>по результатам рассмотрения проводится заседание Врачебной комиссии клиники (создана приказом № 4 от 09 января 2025 г., действует в соответствии со ст. 48 Федерального закона № 323-ФЗ), по итогам которой пациенту направляется письменный ответ;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до обращения в суд рекомендуется направить претензию для рассмотрения Врачебной комиссией клиники.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12. Порядок возврата денежных средств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В соответствии со ст. 32 Закона РФ от 07.02.1992 № 2300-1 «О защите прав потребителей» пациент вправе отказаться от исполнения договора об оказании платных медицинских услуг в любое время в следующем порядке: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подаётся письменное заявление на имя руководителя клиники;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возврат денежных средств осуществляется в течение 10 календарных дней с момента получения заявления;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при отказе после начала оказания услуг возвращается сумма за вычетом фактически понесённых клиникой расходов, подтверждённых документально.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13. Передача данных в ЕГИСЗ и право на отказ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>В соответствии с Постановлением Правительства РФ от 09.02.2022 № 140 и Федеральным законом от 21.11.2011 № 323-ФЗ (ст. 91, 91.1) ООО «Медицинские системы» передаёт сведения о пациенте в Единую государственную информационную систему в сфере здравоохранения (ЕГИСЗ).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>Пациент имеет право отказаться от передачи СНИЛС и своих медицинских данных в ЕГИСЗ, оформив письменное заявление в свободной форме при подписании договора об оказании платных медицинских услуг.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14. Видеонаблюдение и обработка персональных данных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>В помещениях ООО «Медицинские системы» ведётся видеонаблюдение в целях обеспечения общественной безопасности, контроля качества обслуживания и защиты имущества.</w:t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>Срок хранения видеозаписи: 90 суток суток.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</w:p>
    <w:p>
      <w:pPr>
        <w:spacing w:after="100"/>
        <w:jc w:val="both"/>
      </w:pPr>
      <w:r>
        <w:rPr>
          <w:b/>
          <w:bCs/>
          <w:i w:val="false"/>
          <w:iCs w:val="false"/>
          <w:color w:val="000000"/>
          <w:sz w:val="22"/>
          <w:szCs w:val="22"/>
        </w:rPr>
        <w:t>Оператор обработки персональных данных: Общество с ограниченной ответственностью «Медицинские системы», ИНН 8603176070, регистрационный номер в реестре операторов Роскомнадзора 72-25-021437 от 28 мая 2025 г. Нижневартовск</w:t>
      </w:r>
      <w:r>
        <w:rPr>
          <w:b w:val="false"/>
          <w:bCs w:val="false"/>
          <w:i w:val="false"/>
          <w:iCs w:val="false"/>
          <w:color w:val="000000"/>
          <w:sz w:val="22"/>
          <w:szCs w:val="22"/>
        </w:rPr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>Подробная информация о целях, основаниях, сроках и порядке обработки персональных данных размещена в Политике обработки персональных данных на сайте medsys-nv.ru и в зоне ресепшн.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15. Права пациента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Права и обязанности граждан в сфере охраны здоровья регулируются Федеральным законом от 21.11.2011 № 323-ФЗ «Об основах охраны здоровья граждан в Российской Федерации». Пациент имеет право: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на выбор врача и медицинской организации (ст. 21);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на получение информации о состоянии своего здоровья (ст. 22);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на отказ от медицинского вмешательства (ст. 20, ч. 7);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на сохранение врачебной тайны (ст. 13);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на получение медицинских документов и их копий, отражающих состояние здоровья (ст. 22);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на возмещение вреда, причинённого здоровью при оказании медицинской помощи (ст. 19);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на допуск адвоката или законного представителя для защиты своих прав (ст. 19);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на информированное добровольное согласие на медицинское вмешательство и на отказ от него (ст. 20).</w:t>
      </w:r>
    </w:p>
    <w:p>
      <w:pPr>
        <w:pStyle w:val="Heading2"/>
        <w:spacing w:after="120" w:before="240"/>
      </w:pPr>
      <w:r>
        <w:rPr>
          <w:b/>
          <w:bCs/>
          <w:color w:val="000000"/>
          <w:sz w:val="24"/>
          <w:szCs w:val="24"/>
        </w:rPr>
        <w:t xml:space="preserve">15.1. Обслуживание несовершеннолетних пациентов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Несовершеннолетние пациенты обслуживаются в присутствии законного представителя (родителя, усыновителя, опекуна, попечителя).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Пациенты в возрасте 15 лет и старше вправе давать информированное добровольное согласие на медицинское вмешательство самостоятельно в соответствии со ст. 54 Федерального закона № 323-ФЗ, за исключением случаев, прямо установленных законом.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Для пациентов младше 15 лет информированное добровольное согласие даёт законный представитель.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16. Льготные категории граждан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>Льготы по оплате медицинских услуг в ООО «Медицинские системы» не предоставляются.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Перечисленные ниже категории граждан имеют право на обслуживание вне очереди при равной оплате услуг согласно прейскуранту: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Герои Социалистического Труда;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полные кавалеры ордена Трудовой Славы;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инвалиды войны (пп. 28 п. 1 ст. 14 ФЗ «О ветеранах»);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участники Второй мировой войны (пп. 19 п. 1 ст. 15 ФЗ от 12.01.1995 № 5-ФЗ);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Герои Советского Союза, Герои Российской Федерации;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лица, награждённые знаком «Жителю блокадного Ленинграда» (пп. 15 п. 1 ст. 18 ФЗ «О ветеранах»);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полные кавалеры ордена Славы (ст. 7 Закона РФ от 15.01.1993 № 4301-1);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инвалиды I и II групп (п. 1 Указа Президента РФ от 01.05.1993 г.).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17. Прилагаемые документы (на стенде — отдельными экземплярами; на сайте — отдельными ссылками)</w:t>
      </w:r>
    </w:p>
    <w:p>
      <w:pPr>
        <w:spacing w:after="100"/>
        <w:jc w:val="both"/>
      </w:pPr>
      <w:r>
        <w:rPr>
          <w:i/>
          <w:iCs/>
          <w:color w:val="000000"/>
          <w:sz w:val="20"/>
          <w:szCs w:val="20"/>
        </w:rPr>
        <w:t>Перечисленные ниже документы НЕ дублируются полным текстом в настоящем Уголке потребителя. На стенде они размещаются отдельными экземплярами (распечатанными) в зоне ресепшн / в папке «Документы клиники». На сайте клиники medsys-nv.ru — отдельными разделами/ссылками для скачивания (PDF).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/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Положение об условиях, порядке, форме предоставления медицинских услуг и порядке их оплаты.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Образец договора об оказании платных медицинских услуг.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Прейскурант на услуги клиники.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Положение о гарантийных обязательствах.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Образец информированного добровольного согласия (ИДС) — отдельные формы по каждому виду медицинского вмешательства (терапевтическое, хирургическое, ортопедическое, ортодонтическое лечение, рентгенологическое исследование, обезболивание и др.) в соответствии со ст. 20 Федерального закона № 323-ФЗ и приказом Минздрава России от 12.11.2021 № 1051н.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Книга отзывов и предложений (находится в регистратуре, выдаётся пациенту по первому требованию; срок рассмотрения записи — 10 календарных дней).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Политика обработки персональных данных.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Приложения к лицензии (перечень видов работ).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Приказ о внедрении СОП.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Приказ о создании Врачебной комиссии.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000000"/>
          <w:sz w:val="22"/>
          <w:szCs w:val="22"/>
        </w:rPr>
        <w:t xml:space="preserve">Приказ о коммерческом наименовании (если фирменное наименование клиники отличается от наименования юрлица).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18. Сведения о медицинских работниках</w:t>
      </w:r>
    </w:p>
    <w:tbl>
      <w:tblPr>
        <w:tblW w:type="dxa" w:w="94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500"/>
        <w:gridCol w:w="1200"/>
        <w:gridCol w:w="1500"/>
        <w:gridCol w:w="1500"/>
        <w:gridCol w:w="1500"/>
        <w:gridCol w:w="720"/>
      </w:tblGrid>
      <w:tr>
        <w:trPr>
          <w:tblHeader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Ф.И.О.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Занимаемая должность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Уровень образования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Учебное заведение, год окончания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Специальность, квалификация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Сертификат специалиста / Свидетельство об аккредитации (специальность, номер, дата, срок действия)</w:t>
            </w:r>
          </w:p>
        </w:tc>
        <w:tc>
          <w:tcPr>
            <w:tcW w:type="dxa" w:w="7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Категория</w:t>
            </w:r>
          </w:p>
        </w:tc>
      </w:tr>
      <w:t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Врач-стоматолог-терапевт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Врач-стоматолог-хирург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Врач-стоматолог-ортопед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Врач-стоматолог-ортодонт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Врач-стоматолог детский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Ассистент стоматолога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Ассистент стоматолога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Медицинская сестра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Рентген-лаборант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/>
        <w:jc w:val="both"/>
      </w:pPr>
      <w:r>
        <w:rPr>
          <w:i/>
          <w:iCs/>
          <w:color w:val="000000"/>
          <w:sz w:val="20"/>
          <w:szCs w:val="20"/>
        </w:rPr>
        <w:t>В таблице указываются все медицинские работники, участвующие в предоставлении платных медицинских услуг (п. 17 «г» Постановления Правительства РФ от 30.05.2026 № 659), включая врачей, ассистентов стоматолога, медицинских сестёр, рентген-лаборантов. Должности приведены ориентировочно; при заполнении строки добавляются или удаляются по фактическому штату клиники.</w:t>
      </w:r>
    </w:p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19. Режим работы клиники и график специалистов</w:t>
      </w:r>
    </w:p>
    <w:p>
      <w:pPr>
        <w:pStyle w:val="Heading2"/>
        <w:spacing w:after="120" w:before="240"/>
      </w:pPr>
      <w:r>
        <w:rPr>
          <w:b/>
          <w:bCs/>
          <w:color w:val="000000"/>
          <w:sz w:val="24"/>
          <w:szCs w:val="24"/>
        </w:rPr>
        <w:t xml:space="preserve">19.1. Режим работы клиники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Понедельник — пятница: с 9:00 до 18:00 (без перерыва).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Суббота: с 9:00 до 13:00.</w:t>
      </w:r>
    </w:p>
    <w:p>
      <w:pPr>
        <w:spacing w:after="100"/>
        <w:jc w:val="both"/>
      </w:pPr>
      <w:r>
        <w:rPr>
          <w:color w:val="000000"/>
          <w:sz w:val="22"/>
          <w:szCs w:val="22"/>
        </w:rPr>
        <w:t xml:space="preserve">Воскресенье: выходной.</w:t>
      </w:r>
    </w:p>
    <w:p>
      <w:pPr>
        <w:pStyle w:val="Heading2"/>
        <w:spacing w:after="120" w:before="240"/>
      </w:pPr>
      <w:r>
        <w:rPr>
          <w:b/>
          <w:bCs/>
          <w:color w:val="000000"/>
          <w:sz w:val="24"/>
          <w:szCs w:val="24"/>
        </w:rPr>
        <w:t>19.2. График работы специалистов ООО «Медицинские системы»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400"/>
        <w:gridCol w:w="2080"/>
        <w:gridCol w:w="2080"/>
      </w:tblGrid>
      <w:tr>
        <w:trPr>
          <w:tblHeader/>
        </w:trPr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Ф.И.О.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Специальность</w:t>
            </w:r>
          </w:p>
        </w:tc>
        <w:tc>
          <w:tcPr>
            <w:tcW w:type="dxa" w:w="20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Дни приёма</w:t>
            </w:r>
          </w:p>
        </w:tc>
        <w:tc>
          <w:tcPr>
            <w:tcW w:type="dxa" w:w="20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Время приёма</w:t>
            </w:r>
          </w:p>
        </w:tc>
      </w:tr>
    </w:tbl>
    <w:p>
      <w:pPr>
        <w:pStyle w:val="Heading1"/>
        <w:pBdr>
          <w:bottom w:val="single" w:color="000000" w:sz="8" w:space="4"/>
        </w:pBdr>
        <w:spacing w:after="160" w:before="360"/>
      </w:pPr>
      <w:r>
        <w:rPr>
          <w:b/>
          <w:bCs/>
          <w:color w:val="000000"/>
          <w:sz w:val="28"/>
          <w:szCs w:val="28"/>
        </w:rPr>
        <w:t xml:space="preserve">20. Телефоны для экстренного реагирования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760"/>
      </w:tblGrid>
      <w:tr>
        <w:trPr>
          <w:tblHeader/>
        </w:trPr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Телефонный номер</w:t>
            </w:r>
          </w:p>
        </w:tc>
        <w:tc>
          <w:tcPr>
            <w:tcW w:type="dxa" w:w="77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Наименование службы</w:t>
            </w:r>
          </w:p>
        </w:tc>
      </w:tr>
      <w:tr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101</w:t>
            </w:r>
          </w:p>
        </w:tc>
        <w:tc>
          <w:tcPr>
            <w:tcW w:type="dxa" w:w="77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МЧС</w:t>
            </w:r>
          </w:p>
        </w:tc>
      </w:tr>
      <w:tr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102</w:t>
            </w:r>
          </w:p>
        </w:tc>
        <w:tc>
          <w:tcPr>
            <w:tcW w:type="dxa" w:w="77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Полиция</w:t>
            </w:r>
          </w:p>
        </w:tc>
      </w:tr>
      <w:tr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103</w:t>
            </w:r>
          </w:p>
        </w:tc>
        <w:tc>
          <w:tcPr>
            <w:tcW w:type="dxa" w:w="77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Скорая медицинская помощь</w:t>
            </w:r>
          </w:p>
        </w:tc>
      </w:tr>
      <w:tr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104</w:t>
            </w:r>
          </w:p>
        </w:tc>
        <w:tc>
          <w:tcPr>
            <w:tcW w:type="dxa" w:w="77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Аварийная газовая служба</w:t>
            </w:r>
          </w:p>
        </w:tc>
      </w:tr>
      <w:tr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112</w:t>
            </w:r>
          </w:p>
        </w:tc>
        <w:tc>
          <w:tcPr>
            <w:tcW w:type="dxa" w:w="77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Вызов экстренных служб</w:t>
            </w:r>
          </w:p>
        </w:tc>
      </w:tr>
      <w:tr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115</w:t>
            </w:r>
          </w:p>
        </w:tc>
        <w:tc>
          <w:tcPr>
            <w:tcW w:type="dxa" w:w="77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Единая служба поддержки граждан для консультаций при получении государственных и муниципальных услуг в электронном виде</w:t>
            </w:r>
          </w:p>
        </w:tc>
      </w:tr>
      <w:tr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121, 122, 123</w:t>
            </w:r>
          </w:p>
        </w:tc>
        <w:tc>
          <w:tcPr>
            <w:tcW w:type="dxa" w:w="77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Операторы линии «Ребёнок в опасности»</w:t>
            </w:r>
          </w:p>
        </w:tc>
      </w:tr>
    </w:tbl>
    <w:p>
      <w:pPr>
        <w:spacing w:after="100"/>
        <w:jc w:val="both"/>
      </w:pPr>
      <w:r>
        <w:rPr>
          <w:color w:val="000000"/>
          <w:sz w:val="22"/>
          <w:szCs w:val="22"/>
        </w:rPr>
        <w:t xml:space="preserve"/>
      </w:r>
    </w:p>
    <w:p>
      <w:pPr>
        <w:spacing w:after="100"/>
        <w:jc w:val="both"/>
      </w:pPr>
      <w:r>
        <w:rPr>
          <w:i/>
          <w:iCs/>
          <w:color w:val="000000"/>
          <w:sz w:val="20"/>
          <w:szCs w:val="20"/>
        </w:rPr>
        <w:t>Документ подготовлен в соответствии с требованиями: Закон РФ от 07.02.1992 № 2300-1 «О защите прав потребителей»; Федеральный закон от 21.11.2011 № 323-ФЗ; Постановление Правительства РФ от 30.05.2026 № 659; Приказ Минздрава России от 12.11.2021 № 1051н; Федеральный закон от 27.07.2006 № 152-ФЗ; Федеральный закон от 13.03.2006 № 38-ФЗ. Редакция: 2026 г.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Arial" w:cs="Arial" w:eastAsia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000000"/>
      <w:sz w:val="24"/>
      <w:szCs w:val="24"/>
    </w:rPr>
  </w:style>
  <w:style w:type="paragraph" w:styleId="Hyperlink">
    <w:name w:val="Hyperlink"/>
    <w:basedOn w:val="Normal"/>
    <w:qFormat/>
    <w:rPr>
      <w:color w:val="0563C1"/>
      <w:u w:val="single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oryuiiihdv5c6kmpypg" Type="http://schemas.openxmlformats.org/officeDocument/2006/relationships/hyperlink" Target="https://roszdravnadzor.gov.ru/services/licenses" TargetMode="External"/><Relationship Id="rIdd9cltruck-cnw9zw6wx4r" Type="http://schemas.openxmlformats.org/officeDocument/2006/relationships/hyperlink" Target="http://publication.pravo.gov.ru/Document/View/0001202010020020" TargetMode="External"/><Relationship Id="rIdtlmneniakwgrjgkbfe9dz" Type="http://schemas.openxmlformats.org/officeDocument/2006/relationships/hyperlink" Target="https://minzdrav.gov.ru/documents/9263" TargetMode="External"/><Relationship Id="rId_waws07bejkyzfb5iibjr" Type="http://schemas.openxmlformats.org/officeDocument/2006/relationships/hyperlink" Target="https://e-stomatology.ru/director/protokols/" TargetMode="External"/><Relationship Id="rIdh4jnwxgqehlmhupsm8i41" Type="http://schemas.openxmlformats.org/officeDocument/2006/relationships/hyperlink" Target="https://e-stomatology.ru/star/work/2010/solution_sep/protokol_pulpa.htm" TargetMode="External"/><Relationship Id="rIdis2bsaupfpxnx6oz_ftmw" Type="http://schemas.openxmlformats.org/officeDocument/2006/relationships/hyperlink" Target="https://e-stomatology.ru/star/work/2010/solution_sep/protokol_periapikal.htm" TargetMode="External"/><Relationship Id="rIdwvnwgznlxdegxawxapvkt" Type="http://schemas.openxmlformats.org/officeDocument/2006/relationships/hyperlink" Target="https://e-stomatology.ru/director/prikaz/protokol_karies/" TargetMode="External"/><Relationship Id="rIdrom7jjkgc373yyeo5cdov" Type="http://schemas.openxmlformats.org/officeDocument/2006/relationships/hyperlink" Target="https://e-stomatology.ru/director/prikaz/protokol_vedenia/p_adentia.htm" TargetMode="External"/><Relationship Id="rIddkxbl15lmxfscqlk3dlmm" Type="http://schemas.openxmlformats.org/officeDocument/2006/relationships/hyperlink" Target="https://e-stomatology.ru/director/prikaz/protokol_vedenia/adentia.htm" TargetMode="External"/><Relationship Id="rId1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2026-05-13T03:37:09.830Z</dcterms:created>
  <dcterms:modified xsi:type="dcterms:W3CDTF">2026-05-13T03:37:09.846Z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